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A6" w:rsidRPr="00544711" w:rsidRDefault="00136CA6" w:rsidP="00136CA6">
      <w:pPr>
        <w:jc w:val="right"/>
        <w:rPr>
          <w:rFonts w:asciiTheme="minorHAnsi" w:hAnsiTheme="minorHAnsi" w:cstheme="minorHAnsi"/>
          <w:b w:val="0"/>
          <w:bCs/>
          <w:sz w:val="22"/>
          <w:szCs w:val="22"/>
          <w:highlight w:val="lightGray"/>
        </w:rPr>
      </w:pPr>
    </w:p>
    <w:p w:rsidR="00136CA6" w:rsidRPr="00544711" w:rsidRDefault="00340A83" w:rsidP="00136CA6">
      <w:pPr>
        <w:jc w:val="center"/>
        <w:rPr>
          <w:rFonts w:asciiTheme="minorHAnsi" w:hAnsiTheme="minorHAnsi" w:cstheme="minorHAnsi"/>
          <w:b w:val="0"/>
          <w:bCs/>
          <w:sz w:val="28"/>
          <w:szCs w:val="22"/>
          <w:u w:val="single"/>
        </w:rPr>
      </w:pPr>
      <w:r w:rsidRPr="00544711">
        <w:rPr>
          <w:rFonts w:asciiTheme="minorHAnsi" w:hAnsiTheme="minorHAnsi" w:cstheme="minorHAnsi"/>
          <w:b w:val="0"/>
          <w:bCs/>
          <w:sz w:val="28"/>
          <w:szCs w:val="22"/>
          <w:u w:val="single"/>
        </w:rPr>
        <w:t>SIE-ELY</w:t>
      </w:r>
    </w:p>
    <w:p w:rsidR="00340A83" w:rsidRPr="00544711" w:rsidRDefault="00340A83" w:rsidP="00136CA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136CA6" w:rsidRPr="00544711" w:rsidRDefault="003F6E32" w:rsidP="00136CA6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  <w:highlight w:val="lightGray"/>
        </w:rPr>
        <w:t>proposition</w:t>
      </w:r>
      <w:proofErr w:type="gramEnd"/>
      <w:r w:rsidR="00136CA6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 xml:space="preserve"> de délibération « adhésion à la compétence I</w:t>
      </w:r>
      <w:r w:rsidR="006A6B8F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.</w:t>
      </w:r>
      <w:r w:rsidR="00136CA6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R</w:t>
      </w:r>
      <w:r w:rsidR="006A6B8F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.</w:t>
      </w:r>
      <w:r w:rsidR="00136CA6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V</w:t>
      </w:r>
      <w:r w:rsidR="006A6B8F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.</w:t>
      </w:r>
      <w:r w:rsidR="00136CA6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E</w:t>
      </w:r>
      <w:r w:rsidR="006A6B8F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.</w:t>
      </w:r>
      <w:r w:rsidR="00136CA6" w:rsidRPr="00544711">
        <w:rPr>
          <w:rFonts w:asciiTheme="minorHAnsi" w:hAnsiTheme="minorHAnsi" w:cstheme="minorHAnsi"/>
          <w:bCs/>
          <w:sz w:val="22"/>
          <w:szCs w:val="22"/>
          <w:highlight w:val="lightGray"/>
        </w:rPr>
        <w:t> »</w:t>
      </w:r>
    </w:p>
    <w:p w:rsidR="00136CA6" w:rsidRPr="00544711" w:rsidRDefault="00136CA6" w:rsidP="004F0DB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4F0DBB" w:rsidRPr="00544711" w:rsidRDefault="004F0DBB" w:rsidP="004F0DBB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44711">
        <w:rPr>
          <w:rFonts w:asciiTheme="minorHAnsi" w:hAnsiTheme="minorHAnsi" w:cstheme="minorHAnsi"/>
          <w:bCs/>
          <w:sz w:val="22"/>
          <w:szCs w:val="22"/>
          <w:u w:val="single"/>
        </w:rPr>
        <w:t>OBJET</w:t>
      </w:r>
      <w:r w:rsidR="006A6B8F" w:rsidRPr="00544711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544711">
        <w:rPr>
          <w:rFonts w:asciiTheme="minorHAnsi" w:hAnsiTheme="minorHAnsi" w:cstheme="minorHAnsi"/>
          <w:bCs/>
          <w:sz w:val="22"/>
          <w:szCs w:val="22"/>
        </w:rPr>
        <w:t>: Transfert de l’exercice de la compétence « Infrastructure(s) de charge pour véhicules électriques et h</w:t>
      </w:r>
      <w:r w:rsidR="00340A83" w:rsidRPr="00544711">
        <w:rPr>
          <w:rFonts w:asciiTheme="minorHAnsi" w:hAnsiTheme="minorHAnsi" w:cstheme="minorHAnsi"/>
          <w:bCs/>
          <w:sz w:val="22"/>
          <w:szCs w:val="22"/>
        </w:rPr>
        <w:t>ybrides rechargeables (IRVE) » au Syndicat Intercommunal d’Energies d’Eure-et-Loir et des Yvelines.</w:t>
      </w:r>
    </w:p>
    <w:p w:rsidR="004F0DBB" w:rsidRPr="00544711" w:rsidRDefault="004F0DBB" w:rsidP="004F0DBB">
      <w:pPr>
        <w:spacing w:line="240" w:lineRule="exact"/>
        <w:ind w:right="52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4F0DBB" w:rsidRPr="00544711" w:rsidRDefault="004F0DBB" w:rsidP="004F0DBB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Vu les dispositions du Code Général des Collectivités Territoriales, notamment son article L. 2224-37, permettant le transfert de la compétence « infrastructures de </w:t>
      </w:r>
      <w:r w:rsidR="006A6B8F" w:rsidRPr="00544711">
        <w:rPr>
          <w:rFonts w:asciiTheme="minorHAnsi" w:hAnsiTheme="minorHAnsi" w:cstheme="minorHAnsi"/>
          <w:b w:val="0"/>
          <w:sz w:val="22"/>
          <w:szCs w:val="22"/>
        </w:rPr>
        <w:t>re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>charge pour véhicules électriques » aux autorités organisatrices d'un réseau public de distribution d'électricité visées à l'article L. 2224-31 du Code général des collectivités,</w:t>
      </w:r>
    </w:p>
    <w:p w:rsidR="004F0DBB" w:rsidRPr="00544711" w:rsidRDefault="004F0DBB" w:rsidP="004F0DBB">
      <w:pPr>
        <w:jc w:val="both"/>
        <w:rPr>
          <w:rFonts w:asciiTheme="minorHAnsi" w:hAnsiTheme="minorHAnsi" w:cstheme="minorHAnsi"/>
          <w:b w:val="0"/>
          <w:sz w:val="10"/>
          <w:szCs w:val="16"/>
        </w:rPr>
      </w:pPr>
    </w:p>
    <w:p w:rsidR="004F0DBB" w:rsidRPr="00544711" w:rsidRDefault="004F0DBB" w:rsidP="00340A83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Vu les statuts </w:t>
      </w:r>
      <w:r w:rsidR="00340A83" w:rsidRPr="00544711">
        <w:rPr>
          <w:rFonts w:asciiTheme="minorHAnsi" w:hAnsiTheme="minorHAnsi" w:cstheme="minorHAnsi"/>
          <w:b w:val="0"/>
          <w:bCs/>
          <w:sz w:val="22"/>
          <w:szCs w:val="22"/>
        </w:rPr>
        <w:t>du SIE-ELY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 modifiés par arrêté </w:t>
      </w:r>
      <w:r w:rsidR="00340A83" w:rsidRPr="00544711">
        <w:rPr>
          <w:rFonts w:asciiTheme="minorHAnsi" w:hAnsiTheme="minorHAnsi" w:cstheme="minorHAnsi"/>
          <w:b w:val="0"/>
          <w:sz w:val="22"/>
          <w:szCs w:val="22"/>
        </w:rPr>
        <w:t xml:space="preserve">inter 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préfectoral </w:t>
      </w:r>
      <w:r w:rsidR="00675F8C">
        <w:rPr>
          <w:rFonts w:asciiTheme="minorHAnsi" w:hAnsiTheme="minorHAnsi" w:cstheme="minorHAnsi"/>
          <w:b w:val="0"/>
          <w:sz w:val="22"/>
          <w:szCs w:val="22"/>
        </w:rPr>
        <w:t>n° DRCL-BLE-202303</w:t>
      </w:r>
      <w:r w:rsidR="00340A83" w:rsidRPr="00544711">
        <w:rPr>
          <w:rFonts w:asciiTheme="minorHAnsi" w:hAnsiTheme="minorHAnsi" w:cstheme="minorHAnsi"/>
          <w:b w:val="0"/>
          <w:sz w:val="22"/>
          <w:szCs w:val="22"/>
        </w:rPr>
        <w:t xml:space="preserve">4-0001 en date 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du </w:t>
      </w:r>
      <w:r w:rsidR="00675F8C">
        <w:rPr>
          <w:rFonts w:asciiTheme="minorHAnsi" w:hAnsiTheme="minorHAnsi" w:cstheme="minorHAnsi"/>
          <w:b w:val="0"/>
          <w:sz w:val="22"/>
          <w:szCs w:val="22"/>
        </w:rPr>
        <w:t>03 février 2023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 et notammen</w:t>
      </w:r>
      <w:r w:rsidR="00E952B4" w:rsidRPr="00544711">
        <w:rPr>
          <w:rFonts w:asciiTheme="minorHAnsi" w:hAnsiTheme="minorHAnsi" w:cstheme="minorHAnsi"/>
          <w:b w:val="0"/>
          <w:sz w:val="22"/>
          <w:szCs w:val="22"/>
        </w:rPr>
        <w:t xml:space="preserve">t l’article </w:t>
      </w:r>
      <w:r w:rsidR="00340A83" w:rsidRPr="00544711">
        <w:rPr>
          <w:rFonts w:asciiTheme="minorHAnsi" w:hAnsiTheme="minorHAnsi" w:cstheme="minorHAnsi"/>
          <w:b w:val="0"/>
          <w:sz w:val="22"/>
          <w:szCs w:val="22"/>
        </w:rPr>
        <w:t>4</w:t>
      </w:r>
      <w:r w:rsidR="00E952B4" w:rsidRPr="00544711">
        <w:rPr>
          <w:rFonts w:asciiTheme="minorHAnsi" w:hAnsiTheme="minorHAnsi" w:cstheme="minorHAnsi"/>
          <w:b w:val="0"/>
          <w:sz w:val="22"/>
          <w:szCs w:val="22"/>
        </w:rPr>
        <w:t>.</w:t>
      </w:r>
      <w:r w:rsidR="00340A83" w:rsidRPr="00544711">
        <w:rPr>
          <w:rFonts w:asciiTheme="minorHAnsi" w:hAnsiTheme="minorHAnsi" w:cstheme="minorHAnsi"/>
          <w:b w:val="0"/>
          <w:sz w:val="22"/>
          <w:szCs w:val="22"/>
        </w:rPr>
        <w:t>3</w:t>
      </w:r>
      <w:r w:rsidR="00E952B4" w:rsidRPr="00544711">
        <w:rPr>
          <w:rFonts w:asciiTheme="minorHAnsi" w:hAnsiTheme="minorHAnsi" w:cstheme="minorHAnsi"/>
          <w:b w:val="0"/>
          <w:sz w:val="22"/>
          <w:szCs w:val="22"/>
        </w:rPr>
        <w:t xml:space="preserve"> habilitant </w:t>
      </w:r>
      <w:r w:rsidR="00340A83" w:rsidRPr="00544711">
        <w:rPr>
          <w:rFonts w:asciiTheme="minorHAnsi" w:hAnsiTheme="minorHAnsi" w:cstheme="minorHAnsi"/>
          <w:b w:val="0"/>
          <w:bCs/>
          <w:sz w:val="22"/>
          <w:szCs w:val="22"/>
        </w:rPr>
        <w:t>le SIE-ELY à exercer, en lieu et place des membres qui en font la demande, la compétence mentionnée à l’article L 2224-37 du CGCT portant sur la création et l’entretien des infrastructures de charge nécessaires à l'usage de véhicules électriques ou hybrides rechargeables.</w:t>
      </w:r>
    </w:p>
    <w:p w:rsidR="00340A83" w:rsidRPr="00544711" w:rsidRDefault="00340A83" w:rsidP="00340A83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4F0DBB" w:rsidRDefault="00544711" w:rsidP="004F0DBB">
      <w:p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sz w:val="22"/>
          <w:szCs w:val="22"/>
        </w:rPr>
        <w:t>Vu la délibération</w:t>
      </w:r>
      <w:r w:rsidR="004F0DBB" w:rsidRPr="005447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C5054">
        <w:rPr>
          <w:rFonts w:asciiTheme="minorHAnsi" w:hAnsiTheme="minorHAnsi" w:cstheme="minorHAnsi"/>
          <w:b w:val="0"/>
          <w:sz w:val="22"/>
          <w:szCs w:val="22"/>
        </w:rPr>
        <w:t xml:space="preserve">DEL/2023/010 </w:t>
      </w:r>
      <w:r w:rsidR="004F0DBB" w:rsidRPr="00544711">
        <w:rPr>
          <w:rFonts w:asciiTheme="minorHAnsi" w:hAnsiTheme="minorHAnsi" w:cstheme="minorHAnsi"/>
          <w:b w:val="0"/>
          <w:sz w:val="22"/>
          <w:szCs w:val="22"/>
        </w:rPr>
        <w:t xml:space="preserve">du Comité syndical 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du SIE ELY en date du </w:t>
      </w:r>
      <w:r w:rsidR="00FC5054">
        <w:rPr>
          <w:rFonts w:asciiTheme="minorHAnsi" w:hAnsiTheme="minorHAnsi" w:cstheme="minorHAnsi"/>
          <w:b w:val="0"/>
          <w:sz w:val="22"/>
          <w:szCs w:val="22"/>
        </w:rPr>
        <w:t xml:space="preserve">13 juin 2023 </w:t>
      </w:r>
      <w:r w:rsidR="004F0DBB"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portant sur le transfert et les conditions administratives, techniques et financières d’exercice de la compétence « infrastructures de </w:t>
      </w:r>
      <w:r w:rsidR="006A6B8F"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>re</w:t>
      </w:r>
      <w:r w:rsidR="004F0DBB"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>charge pour véhicules électriques »,</w:t>
      </w:r>
    </w:p>
    <w:p w:rsidR="003F6E32" w:rsidRDefault="003F6E32" w:rsidP="004F0DBB">
      <w:p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3F6E32" w:rsidRDefault="003A3DC5" w:rsidP="003F6E32">
      <w:p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A3DC5">
        <w:rPr>
          <w:rFonts w:asciiTheme="minorHAnsi" w:hAnsiTheme="minorHAnsi" w:cstheme="minorHAnsi"/>
          <w:b w:val="0"/>
          <w:color w:val="000000"/>
          <w:sz w:val="22"/>
          <w:szCs w:val="22"/>
        </w:rPr>
        <w:t>Vu la délibération DEL/2024/015</w:t>
      </w:r>
      <w:r w:rsidR="003F6E32" w:rsidRPr="003A3DC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du Comité Syndical du SIE-ELY en date du 03/09/2024 modifiant</w:t>
      </w:r>
      <w:r w:rsidR="00C86057" w:rsidRPr="003A3DC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le règlement</w:t>
      </w:r>
      <w:r w:rsidR="003F6E32" w:rsidRPr="003A3DC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conditions administratives, techniques et financières d’exercice de la compétence « infrastructures de recharge pour véhicules électriques »,</w:t>
      </w:r>
    </w:p>
    <w:p w:rsidR="003F6E32" w:rsidRPr="00544711" w:rsidRDefault="003F6E32" w:rsidP="004F0DBB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4F0DBB" w:rsidRPr="00544711" w:rsidRDefault="004F0DBB" w:rsidP="004F0DBB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4471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Considérant </w:t>
      </w:r>
      <w:r w:rsidR="00544711" w:rsidRPr="0054471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que le SIE-ELY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4471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porte un programme de déploiement d’infrastructures de recharge pour véhicules électriques et hybrides rechargeables (IRVE),</w:t>
      </w:r>
    </w:p>
    <w:p w:rsidR="004F0DBB" w:rsidRPr="00544711" w:rsidRDefault="004F0DBB" w:rsidP="004F0DBB">
      <w:pPr>
        <w:jc w:val="both"/>
        <w:rPr>
          <w:rFonts w:asciiTheme="minorHAnsi" w:hAnsiTheme="minorHAnsi" w:cstheme="minorHAnsi"/>
          <w:b w:val="0"/>
          <w:sz w:val="10"/>
          <w:szCs w:val="16"/>
        </w:rPr>
      </w:pPr>
    </w:p>
    <w:p w:rsidR="004F0DBB" w:rsidRPr="00544711" w:rsidRDefault="004F0DBB" w:rsidP="004F0DBB">
      <w:pPr>
        <w:tabs>
          <w:tab w:val="left" w:pos="558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Considérant les modalités de transfert de compétences prévues aux articles </w:t>
      </w:r>
      <w:r w:rsidR="00544711"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>6 et 7 de</w:t>
      </w:r>
      <w:r w:rsidRPr="0054471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 statuts </w:t>
      </w:r>
      <w:r w:rsidR="00544711" w:rsidRPr="00544711">
        <w:rPr>
          <w:rFonts w:asciiTheme="minorHAnsi" w:hAnsiTheme="minorHAnsi" w:cstheme="minorHAnsi"/>
          <w:b w:val="0"/>
          <w:bCs/>
          <w:sz w:val="22"/>
          <w:szCs w:val="22"/>
        </w:rPr>
        <w:t>du SIE-ELY,</w:t>
      </w:r>
    </w:p>
    <w:p w:rsidR="004F0DBB" w:rsidRPr="00544711" w:rsidRDefault="004F0DBB" w:rsidP="004F0DBB">
      <w:pPr>
        <w:tabs>
          <w:tab w:val="left" w:pos="5580"/>
        </w:tabs>
        <w:jc w:val="both"/>
        <w:rPr>
          <w:rFonts w:asciiTheme="minorHAnsi" w:hAnsiTheme="minorHAnsi" w:cstheme="minorHAnsi"/>
          <w:b w:val="0"/>
          <w:sz w:val="10"/>
          <w:szCs w:val="16"/>
        </w:rPr>
      </w:pPr>
    </w:p>
    <w:p w:rsidR="004F0DBB" w:rsidRPr="00544711" w:rsidRDefault="004F0DBB" w:rsidP="004F0DBB">
      <w:pPr>
        <w:tabs>
          <w:tab w:val="left" w:pos="5580"/>
        </w:tabs>
        <w:jc w:val="both"/>
        <w:rPr>
          <w:rFonts w:asciiTheme="minorHAnsi" w:hAnsiTheme="minorHAnsi" w:cstheme="minorHAnsi"/>
          <w:b w:val="0"/>
          <w:color w:val="000000"/>
          <w:sz w:val="16"/>
          <w:szCs w:val="22"/>
        </w:rPr>
      </w:pPr>
    </w:p>
    <w:p w:rsidR="004F0DBB" w:rsidRPr="00544711" w:rsidRDefault="004F0DBB" w:rsidP="006305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711">
        <w:rPr>
          <w:rFonts w:asciiTheme="minorHAnsi" w:hAnsiTheme="minorHAnsi" w:cstheme="minorHAnsi"/>
          <w:color w:val="000000"/>
          <w:sz w:val="22"/>
          <w:szCs w:val="22"/>
        </w:rPr>
        <w:t>Après en avoir délibéré (</w:t>
      </w:r>
      <w:r w:rsidRPr="005447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xxx pour, xx contre, xx abstention</w:t>
      </w:r>
      <w:r w:rsidRPr="00544711">
        <w:rPr>
          <w:rFonts w:asciiTheme="minorHAnsi" w:hAnsiTheme="minorHAnsi" w:cstheme="minorHAnsi"/>
          <w:color w:val="000000"/>
          <w:sz w:val="22"/>
          <w:szCs w:val="22"/>
        </w:rPr>
        <w:t>), le Conseil Municipal :</w:t>
      </w:r>
    </w:p>
    <w:p w:rsidR="004F0DBB" w:rsidRPr="00544711" w:rsidRDefault="004F0DBB" w:rsidP="00544711">
      <w:pPr>
        <w:pStyle w:val="Paragraphedeliste1"/>
        <w:widowControl w:val="0"/>
        <w:numPr>
          <w:ilvl w:val="0"/>
          <w:numId w:val="1"/>
        </w:numPr>
        <w:tabs>
          <w:tab w:val="left" w:pos="709"/>
        </w:tabs>
        <w:spacing w:before="120" w:after="120"/>
        <w:ind w:left="527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Approuve le transfert de la compétence « infrastructures de </w:t>
      </w:r>
      <w:r w:rsidR="006A6B8F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re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char</w:t>
      </w:r>
      <w:r w:rsidR="00544711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ge pour véhicules électriques» au </w:t>
      </w:r>
      <w:r w:rsidR="00544711" w:rsidRPr="00544711">
        <w:rPr>
          <w:rFonts w:asciiTheme="minorHAnsi" w:hAnsiTheme="minorHAnsi" w:cstheme="minorHAnsi"/>
          <w:bCs w:val="0"/>
          <w:sz w:val="22"/>
          <w:szCs w:val="22"/>
        </w:rPr>
        <w:t>Syndicat Intercommunal d’Energies d’Eure-et-Loir et des Yvelines</w:t>
      </w:r>
      <w:r w:rsidR="00544711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pour la mise en place d’un service comprenant la création, l’entretien, et l’exploitation des infrastructures de charge nécessaires à l’usage des véhicules électriques ou hybrides rechargeables, dont l’exploitation comprend l’achat d’électricité nécessaire à l’alimentation des infrastructures de charge, ce transfert étant effectif à compter du </w:t>
      </w:r>
      <w:r w:rsidR="00DB3E6C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DB3E6C" w:rsidRPr="00431468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er</w:t>
      </w:r>
      <w:r w:rsidR="00DB3E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jour du mois suivant la date à laquelle la délibération du comité </w:t>
      </w:r>
      <w:r w:rsidR="003F6E32">
        <w:rPr>
          <w:rFonts w:asciiTheme="minorHAnsi" w:hAnsiTheme="minorHAnsi" w:cstheme="minorHAnsi"/>
          <w:b w:val="0"/>
          <w:bCs w:val="0"/>
          <w:sz w:val="22"/>
          <w:szCs w:val="22"/>
        </w:rPr>
        <w:t>syndical est devenue exécutoire</w:t>
      </w:r>
      <w:r w:rsidR="00DB3E6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4F0DBB" w:rsidRPr="003A3DC5" w:rsidRDefault="004F0DBB" w:rsidP="00544711">
      <w:pPr>
        <w:pStyle w:val="Paragraphedeliste1"/>
        <w:widowControl w:val="0"/>
        <w:numPr>
          <w:ilvl w:val="0"/>
          <w:numId w:val="1"/>
        </w:numPr>
        <w:tabs>
          <w:tab w:val="left" w:pos="709"/>
        </w:tabs>
        <w:spacing w:before="120" w:after="120"/>
        <w:ind w:left="527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Accepte sans réserve les conditions administrative</w:t>
      </w:r>
      <w:r w:rsidR="00630548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630548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techniques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et financières d’exercice de la compétence « infrastructures de </w:t>
      </w:r>
      <w:r w:rsidR="006A6B8F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re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charge pour véhicules électriques » telles qu’adoptées par le Comité syndical </w:t>
      </w:r>
      <w:r w:rsidR="00544711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du SIE-ELY</w:t>
      </w:r>
      <w:r w:rsidRPr="005447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dans sa délibération </w:t>
      </w:r>
      <w:r w:rsidR="00675F8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DEL/2023/010 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du </w:t>
      </w:r>
      <w:r w:rsidR="003F6E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13 juin 2023 et modifiées par délibération </w:t>
      </w:r>
      <w:r w:rsidR="003A3DC5" w:rsidRPr="003A3DC5">
        <w:rPr>
          <w:rFonts w:asciiTheme="minorHAnsi" w:hAnsiTheme="minorHAnsi" w:cstheme="minorHAnsi"/>
          <w:b w:val="0"/>
          <w:bCs w:val="0"/>
          <w:sz w:val="22"/>
          <w:szCs w:val="22"/>
        </w:rPr>
        <w:t>DEL/2024/015</w:t>
      </w:r>
      <w:r w:rsidR="003F6E32" w:rsidRPr="003A3D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du 03/09/2024.</w:t>
      </w:r>
    </w:p>
    <w:p w:rsidR="004F0DBB" w:rsidRPr="00544711" w:rsidRDefault="004F0DBB" w:rsidP="00544711">
      <w:pPr>
        <w:pStyle w:val="Paragraphedeliste1"/>
        <w:widowControl w:val="0"/>
        <w:numPr>
          <w:ilvl w:val="0"/>
          <w:numId w:val="1"/>
        </w:numPr>
        <w:tabs>
          <w:tab w:val="left" w:pos="709"/>
        </w:tabs>
        <w:spacing w:before="120" w:after="120"/>
        <w:ind w:left="527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GoBack"/>
      <w:bookmarkEnd w:id="0"/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Autorise Madame / Monsieur le Maire à signer tous les actes nécessaires au transfert de la compétence « infrastructures de </w:t>
      </w:r>
      <w:r w:rsidR="006A6B8F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re</w:t>
      </w:r>
      <w:r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charge pour véhicules électriques » et à la mise en œuvre du projet.</w:t>
      </w:r>
    </w:p>
    <w:p w:rsidR="004F0DBB" w:rsidRPr="00544711" w:rsidRDefault="003F6E32" w:rsidP="00544711">
      <w:pPr>
        <w:pStyle w:val="Paragraphedeliste1"/>
        <w:widowControl w:val="0"/>
        <w:numPr>
          <w:ilvl w:val="0"/>
          <w:numId w:val="1"/>
        </w:numPr>
        <w:tabs>
          <w:tab w:val="left" w:pos="709"/>
        </w:tabs>
        <w:spacing w:before="120" w:after="120"/>
        <w:ind w:left="527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S’engage, le cas échéant, </w:t>
      </w:r>
      <w:r w:rsidR="004F0DBB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à verser </w:t>
      </w:r>
      <w:r w:rsidR="00544711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au SIE-ELY </w:t>
      </w:r>
      <w:r w:rsidR="004F0DBB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les participations financières dues en application des conditions administratives, techniques et financières </w:t>
      </w:r>
      <w:r w:rsidR="00DB3E6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prévues au règlement </w:t>
      </w:r>
      <w:r w:rsidR="004F0DBB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pour </w:t>
      </w:r>
      <w:r w:rsidR="002E342F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4F0DBB" w:rsidRPr="00544711">
        <w:rPr>
          <w:rFonts w:asciiTheme="minorHAnsi" w:hAnsiTheme="minorHAnsi" w:cstheme="minorHAnsi"/>
          <w:b w:val="0"/>
          <w:bCs w:val="0"/>
          <w:sz w:val="22"/>
          <w:szCs w:val="22"/>
        </w:rPr>
        <w:t>’exercice de ladite compétence approuvées par la présente délibération.</w:t>
      </w:r>
    </w:p>
    <w:p w:rsidR="001E4D2D" w:rsidRPr="003F6E32" w:rsidRDefault="004F0DBB" w:rsidP="00DF2218">
      <w:pPr>
        <w:pStyle w:val="Paragraphedeliste1"/>
        <w:widowControl w:val="0"/>
        <w:numPr>
          <w:ilvl w:val="0"/>
          <w:numId w:val="1"/>
        </w:numPr>
        <w:tabs>
          <w:tab w:val="left" w:pos="709"/>
        </w:tabs>
        <w:spacing w:before="120" w:after="120"/>
        <w:ind w:left="527" w:hanging="357"/>
        <w:jc w:val="both"/>
        <w:rPr>
          <w:rFonts w:asciiTheme="minorHAnsi" w:hAnsiTheme="minorHAnsi" w:cstheme="minorHAnsi"/>
          <w:b w:val="0"/>
          <w:sz w:val="10"/>
          <w:szCs w:val="22"/>
        </w:rPr>
      </w:pPr>
      <w:r w:rsidRPr="003F6E32">
        <w:rPr>
          <w:rFonts w:asciiTheme="minorHAnsi" w:hAnsiTheme="minorHAnsi" w:cstheme="minorHAnsi"/>
          <w:b w:val="0"/>
          <w:bCs w:val="0"/>
          <w:sz w:val="22"/>
          <w:szCs w:val="22"/>
        </w:rPr>
        <w:t>S’engage</w:t>
      </w:r>
      <w:r w:rsidR="00DB3E6C" w:rsidRPr="003F6E32">
        <w:rPr>
          <w:rFonts w:asciiTheme="minorHAnsi" w:hAnsiTheme="minorHAnsi" w:cstheme="minorHAnsi"/>
          <w:b w:val="0"/>
          <w:bCs w:val="0"/>
          <w:sz w:val="22"/>
          <w:szCs w:val="22"/>
        </w:rPr>
        <w:t>, le cas échéant,</w:t>
      </w:r>
      <w:r w:rsidRPr="003F6E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à inscrire les dépenses correspondantes au budget municipal et donne mandat à Madame / Monsieur le Maire pour régler les sommes dues </w:t>
      </w:r>
      <w:r w:rsidR="00544711" w:rsidRPr="003F6E32">
        <w:rPr>
          <w:rFonts w:asciiTheme="minorHAnsi" w:hAnsiTheme="minorHAnsi" w:cstheme="minorHAnsi"/>
          <w:b w:val="0"/>
          <w:bCs w:val="0"/>
          <w:sz w:val="22"/>
          <w:szCs w:val="22"/>
        </w:rPr>
        <w:t>au SIE-ELY.</w:t>
      </w:r>
    </w:p>
    <w:p w:rsidR="001E4D2D" w:rsidRDefault="001E4D2D" w:rsidP="001E4D2D">
      <w:pPr>
        <w:pStyle w:val="Paragraphedeliste1"/>
        <w:widowControl w:val="0"/>
        <w:tabs>
          <w:tab w:val="left" w:pos="709"/>
        </w:tabs>
        <w:spacing w:before="120" w:after="120"/>
        <w:ind w:left="527"/>
        <w:jc w:val="both"/>
        <w:rPr>
          <w:rFonts w:asciiTheme="minorHAnsi" w:hAnsiTheme="minorHAnsi" w:cstheme="minorHAnsi"/>
          <w:b w:val="0"/>
          <w:sz w:val="10"/>
          <w:szCs w:val="22"/>
        </w:rPr>
      </w:pPr>
    </w:p>
    <w:p w:rsidR="001E4D2D" w:rsidRDefault="001E4D2D" w:rsidP="001E4D2D">
      <w:pPr>
        <w:pStyle w:val="Paragraphedeliste1"/>
        <w:widowControl w:val="0"/>
        <w:tabs>
          <w:tab w:val="left" w:pos="709"/>
        </w:tabs>
        <w:spacing w:before="120" w:after="120"/>
        <w:ind w:left="527"/>
        <w:jc w:val="both"/>
        <w:rPr>
          <w:rFonts w:asciiTheme="minorHAnsi" w:hAnsiTheme="minorHAnsi" w:cstheme="minorHAnsi"/>
          <w:b w:val="0"/>
          <w:sz w:val="10"/>
          <w:szCs w:val="22"/>
        </w:rPr>
      </w:pPr>
    </w:p>
    <w:p w:rsidR="001E4D2D" w:rsidRPr="00E94E45" w:rsidRDefault="001E4D2D" w:rsidP="001E4D2D">
      <w:pPr>
        <w:rPr>
          <w:i/>
          <w:color w:val="FF0000"/>
        </w:rPr>
      </w:pPr>
      <w:r w:rsidRPr="00E94E45">
        <w:rPr>
          <w:i/>
          <w:color w:val="FF0000"/>
        </w:rPr>
        <w:t>Ce modèle est proposé à titre indicatif</w:t>
      </w:r>
      <w:r>
        <w:rPr>
          <w:i/>
          <w:color w:val="FF0000"/>
        </w:rPr>
        <w:t xml:space="preserve"> et n’est nullement imposé</w:t>
      </w:r>
      <w:r w:rsidRPr="00E94E45">
        <w:rPr>
          <w:i/>
          <w:color w:val="FF0000"/>
        </w:rPr>
        <w:t>, il ne saurait être repris en l’état sans être adapté à votre collectivité.</w:t>
      </w:r>
      <w:r>
        <w:rPr>
          <w:i/>
          <w:color w:val="FF0000"/>
        </w:rPr>
        <w:t xml:space="preserve"> </w:t>
      </w:r>
    </w:p>
    <w:p w:rsidR="001E4D2D" w:rsidRPr="00DB3E6C" w:rsidRDefault="001E4D2D" w:rsidP="001E4D2D">
      <w:pPr>
        <w:pStyle w:val="Paragraphedeliste1"/>
        <w:widowControl w:val="0"/>
        <w:tabs>
          <w:tab w:val="left" w:pos="709"/>
        </w:tabs>
        <w:spacing w:before="120" w:after="120"/>
        <w:ind w:left="527"/>
        <w:jc w:val="both"/>
        <w:rPr>
          <w:rFonts w:asciiTheme="minorHAnsi" w:hAnsiTheme="minorHAnsi" w:cstheme="minorHAnsi"/>
          <w:b w:val="0"/>
          <w:sz w:val="10"/>
          <w:szCs w:val="22"/>
        </w:rPr>
      </w:pPr>
    </w:p>
    <w:sectPr w:rsidR="001E4D2D" w:rsidRPr="00DB3E6C" w:rsidSect="006A6B8F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31"/>
        </w:tabs>
        <w:ind w:left="53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91"/>
        </w:tabs>
        <w:ind w:left="8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51"/>
        </w:tabs>
        <w:ind w:left="12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71"/>
        </w:tabs>
        <w:ind w:left="19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31"/>
        </w:tabs>
        <w:ind w:left="23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51"/>
        </w:tabs>
        <w:ind w:left="30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11"/>
        </w:tabs>
        <w:ind w:left="3411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BB"/>
    <w:rsid w:val="000D3C59"/>
    <w:rsid w:val="00136CA6"/>
    <w:rsid w:val="001E4D2D"/>
    <w:rsid w:val="00297C8F"/>
    <w:rsid w:val="002E342F"/>
    <w:rsid w:val="00340A83"/>
    <w:rsid w:val="003A3DC5"/>
    <w:rsid w:val="003F6E32"/>
    <w:rsid w:val="004149C2"/>
    <w:rsid w:val="00431468"/>
    <w:rsid w:val="004B2425"/>
    <w:rsid w:val="004F0DBB"/>
    <w:rsid w:val="00544711"/>
    <w:rsid w:val="00630548"/>
    <w:rsid w:val="00675F8C"/>
    <w:rsid w:val="006A6B8F"/>
    <w:rsid w:val="007979EC"/>
    <w:rsid w:val="007D5751"/>
    <w:rsid w:val="009E4EF8"/>
    <w:rsid w:val="00A710EC"/>
    <w:rsid w:val="00C86057"/>
    <w:rsid w:val="00DB3E6C"/>
    <w:rsid w:val="00E952B4"/>
    <w:rsid w:val="00EE2823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AD794"/>
  <w15:chartTrackingRefBased/>
  <w15:docId w15:val="{4776400F-6959-491F-A3D5-ED1AD58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BB"/>
    <w:pPr>
      <w:suppressAutoHyphens/>
      <w:spacing w:after="0" w:line="240" w:lineRule="auto"/>
    </w:pPr>
    <w:rPr>
      <w:rFonts w:ascii="Arial" w:eastAsia="Times New Roman" w:hAnsi="Arial" w:cs="Arial"/>
      <w:b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4F0DBB"/>
    <w:pPr>
      <w:ind w:left="708"/>
    </w:pPr>
    <w:rPr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5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548"/>
    <w:rPr>
      <w:rFonts w:ascii="Segoe UI" w:eastAsia="Times New Roman" w:hAnsi="Segoe UI" w:cs="Segoe UI"/>
      <w:b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 GUYEC</dc:creator>
  <cp:keywords/>
  <dc:description/>
  <cp:lastModifiedBy>Sophie MAZEL</cp:lastModifiedBy>
  <cp:revision>4</cp:revision>
  <cp:lastPrinted>2023-06-29T09:02:00Z</cp:lastPrinted>
  <dcterms:created xsi:type="dcterms:W3CDTF">2024-08-22T10:09:00Z</dcterms:created>
  <dcterms:modified xsi:type="dcterms:W3CDTF">2024-09-04T07:51:00Z</dcterms:modified>
</cp:coreProperties>
</file>